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Arial" w:hAnsi="Arial" w:cs="Arial"/>
          <w:color w:val="001740"/>
          <w:sz w:val="28"/>
          <w:szCs w:val="28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editId="78884961" wp14:anchorId="6BA31DFF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39FE37A9"/>
            </w:pict>
          </mc:Fallback>
        </mc:AlternateContent>
      </w:r>
      <w:r>
        <w:rPr>
          <w:noProof/>
        </w:rPr>
        <w:drawing>
          <wp:inline distT="0" distB="0" distL="0" distR="0" wp14:anchorId="6BC2BABE" wp14:editId="5764CED4">
            <wp:extent cx="1257300" cy="4654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25EE4" w:rsidR="00A64157">
        <w:rPr>
          <w:lang w:val="en-GB"/>
        </w:rPr>
        <w:tab/>
      </w:r>
      <w:r w:rsidRPr="00B25EE4" w:rsidR="00A64157">
        <w:rPr>
          <w:lang w:val="en-GB"/>
        </w:rPr>
        <w:tab/>
      </w:r>
      <w:r w:rsidRPr="00B25EE4" w:rsidR="00A64157">
        <w:rPr>
          <w:lang w:val="en-GB"/>
        </w:rPr>
        <w:tab/>
      </w:r>
      <w:r w:rsidRPr="00B25EE4" w:rsidR="00A64157">
        <w:rPr>
          <w:lang w:val="en-GB"/>
        </w:rPr>
        <w:tab/>
      </w:r>
      <w:r w:rsidRPr="00B25EE4" w:rsidR="00A64157">
        <w:rPr>
          <w:lang w:val="en-GB"/>
        </w:rPr>
        <w:tab/>
      </w:r>
      <w:r w:rsidRPr="00B25EE4" w:rsidR="00B25EE4">
        <w:rPr>
          <w:lang w:val="en-GB"/>
        </w:rPr>
        <w:tab/>
      </w:r>
      <w:r w:rsidRPr="00B25EE4" w:rsidR="00B25EE4">
        <w:rPr>
          <w:lang w:val="en-GB"/>
        </w:rPr>
        <w:tab/>
      </w:r>
      <w:r w:rsidR="00B25EE4">
        <w:rPr>
          <w:lang w:val="en-GB"/>
        </w:rPr>
        <w:tab/>
      </w:r>
      <w:r w:rsidRPr="00B25EE4" w:rsidR="00B25EE4">
        <w:rPr>
          <w:rFonts w:ascii="Arial" w:hAnsi="Arial" w:cs="Arial"/>
          <w:color w:val="001740"/>
          <w:sz w:val="32"/>
          <w:szCs w:val="32"/>
          <w:lang w:val="en-GB"/>
        </w:rPr>
        <w:t xml:space="preserve">Tarasafe </w:t>
      </w:r>
      <w:r w:rsidRPr="00B25EE4" w:rsidR="00B25EE4">
        <w:rPr>
          <w:rFonts w:ascii="Arial" w:hAnsi="Arial" w:cs="Arial"/>
          <w:color w:val="001740"/>
          <w:sz w:val="32"/>
          <w:szCs w:val="32"/>
          <w:lang w:val="en-GB"/>
        </w:rPr>
        <w:t xml:space="preserve">Plus</w:t>
      </w:r>
    </w:p>
    <w:p w:rsidRPr="00B25EE4" w:rsidR="00A64157" w:rsidRDefault="00A64157" w14:paraId="61916FA8" w14:textId="7777777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:rsidRPr="00B25EE4" w:rsidR="00391DCD" w:rsidRDefault="00391DCD" w14:paraId="23756171" w14:textId="7777777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86E66">
        <w:rPr>
          <w:rFonts w:ascii="Arial" w:hAnsi="Arial" w:cs="Arial"/>
          <w:b/>
          <w:bCs/>
        </w:rPr>
        <w:t xml:space="preserve">O TARASAFE PLUS </w:t>
      </w:r>
      <w:r w:rsidRPr="00186E66">
        <w:rPr>
          <w:rFonts w:ascii="Arial" w:hAnsi="Arial" w:cs="Arial"/>
        </w:rPr>
        <w:t xml:space="preserve">é um </w:t>
      </w:r>
      <w:r w:rsidRPr="00186E66">
        <w:rPr>
          <w:rFonts w:ascii="Arial" w:hAnsi="Arial" w:cs="Arial"/>
        </w:rPr>
        <w:t xml:space="preserve">revestimento de </w:t>
      </w:r>
      <w:r w:rsidRPr="00186E66">
        <w:rPr>
          <w:rFonts w:ascii="Arial" w:hAnsi="Arial" w:cs="Arial"/>
        </w:rPr>
        <w:t xml:space="preserve">pavimento </w:t>
      </w:r>
      <w:r w:rsidRPr="00186E66">
        <w:rPr>
          <w:rFonts w:ascii="Arial" w:hAnsi="Arial" w:cs="Arial"/>
        </w:rPr>
        <w:t xml:space="preserve">vinílico </w:t>
      </w:r>
      <w:r w:rsidRPr="00186E66">
        <w:rPr>
          <w:rFonts w:ascii="Arial" w:hAnsi="Arial" w:cs="Arial"/>
        </w:rPr>
        <w:t xml:space="preserve">de segurança </w:t>
      </w:r>
      <w:r w:rsidRPr="00186E66">
        <w:rPr>
          <w:rFonts w:ascii="Arial" w:hAnsi="Arial" w:cs="Arial"/>
        </w:rPr>
        <w:t xml:space="preserve">antiderrapante </w:t>
      </w:r>
      <w:r w:rsidRPr="00186E66">
        <w:rPr>
          <w:rFonts w:ascii="Arial" w:hAnsi="Arial" w:cs="Arial"/>
        </w:rPr>
        <w:t xml:space="preserve">com </w:t>
      </w:r>
      <w:r w:rsidRPr="00186E66">
        <w:rPr>
          <w:rFonts w:ascii="Arial" w:hAnsi="Arial" w:cs="Arial"/>
        </w:rPr>
        <w:t xml:space="preserve">uma </w:t>
      </w:r>
      <w:r w:rsidRPr="00186E66">
        <w:rPr>
          <w:rFonts w:ascii="Arial" w:hAnsi="Arial" w:cs="Arial"/>
        </w:rPr>
        <w:t xml:space="preserve">camada de </w:t>
      </w:r>
      <w:r w:rsidRPr="00186E66">
        <w:rPr>
          <w:rFonts w:ascii="Arial" w:hAnsi="Arial" w:cs="Arial"/>
        </w:rPr>
        <w:t xml:space="preserve">desgaste em </w:t>
      </w:r>
      <w:r w:rsidRPr="00186E66">
        <w:rPr>
          <w:rFonts w:ascii="Arial" w:hAnsi="Arial" w:cs="Arial"/>
        </w:rPr>
        <w:t xml:space="preserve">PVC e </w:t>
      </w:r>
      <w:r w:rsidRPr="00186E66">
        <w:rPr>
          <w:rFonts w:ascii="Arial" w:hAnsi="Arial" w:cs="Arial"/>
        </w:rPr>
        <w:t xml:space="preserve">partículas </w:t>
      </w:r>
      <w:r w:rsidRPr="00186E66">
        <w:rPr>
          <w:rFonts w:ascii="Arial" w:hAnsi="Arial" w:cs="Arial"/>
        </w:rPr>
        <w:t xml:space="preserve">de vidro </w:t>
      </w:r>
      <w:r w:rsidRPr="00186E66">
        <w:rPr>
          <w:rFonts w:ascii="Arial" w:hAnsi="Arial" w:cs="Arial"/>
        </w:rPr>
        <w:t xml:space="preserve">mineral </w:t>
      </w:r>
      <w:r w:rsidRPr="00186E66">
        <w:rPr>
          <w:rFonts w:ascii="Arial" w:hAnsi="Arial" w:cs="Arial"/>
        </w:rPr>
        <w:t xml:space="preserve">profundamente </w:t>
      </w:r>
      <w:r w:rsidRPr="00186E66">
        <w:rPr>
          <w:rFonts w:ascii="Arial" w:hAnsi="Arial" w:cs="Arial"/>
        </w:rPr>
        <w:t xml:space="preserve">incorporadas </w:t>
      </w:r>
      <w:r w:rsidRPr="00186E66">
        <w:rPr>
          <w:rFonts w:ascii="Arial" w:hAnsi="Arial" w:cs="Arial"/>
        </w:rPr>
        <w:t xml:space="preserve">(</w:t>
      </w:r>
      <w:r w:rsidRPr="00186E66">
        <w:rPr>
          <w:rFonts w:ascii="Arial" w:hAnsi="Arial" w:cs="Arial"/>
        </w:rPr>
        <w:t xml:space="preserve">patenteado</w:t>
      </w:r>
      <w:r w:rsidRPr="00186E66">
        <w:rPr>
          <w:rFonts w:ascii="Arial" w:hAnsi="Arial" w:cs="Arial"/>
        </w:rPr>
        <w:t xml:space="preserve">). </w:t>
      </w:r>
      <w:r w:rsidRPr="00186E66">
        <w:rPr>
          <w:rFonts w:ascii="Arial" w:hAnsi="Arial" w:cs="Arial"/>
        </w:rPr>
        <w:t xml:space="preserve">Tem </w:t>
      </w:r>
      <w:r w:rsidRPr="00186E66">
        <w:rPr>
          <w:rFonts w:ascii="Arial" w:hAnsi="Arial" w:cs="Arial"/>
        </w:rPr>
        <w:t xml:space="preserve">uma </w:t>
      </w:r>
      <w:r w:rsidRPr="00186E66">
        <w:rPr>
          <w:rFonts w:ascii="Arial" w:hAnsi="Arial" w:cs="Arial"/>
        </w:rPr>
        <w:t xml:space="preserve">espessura </w:t>
      </w:r>
      <w:r w:rsidRPr="00186E66">
        <w:rPr>
          <w:rFonts w:ascii="Arial" w:hAnsi="Arial" w:cs="Arial"/>
        </w:rPr>
        <w:t xml:space="preserve">de 2,5 mm </w:t>
      </w:r>
      <w:r w:rsidRPr="00186E66">
        <w:rPr>
          <w:rFonts w:ascii="Arial" w:hAnsi="Arial" w:cs="Arial"/>
        </w:rPr>
        <w:t xml:space="preserve">para </w:t>
      </w:r>
      <w:r w:rsidRPr="00186E66">
        <w:rPr>
          <w:rFonts w:ascii="Arial" w:hAnsi="Arial" w:cs="Arial"/>
        </w:rPr>
        <w:t xml:space="preserve">uma maior </w:t>
      </w:r>
      <w:r w:rsidRPr="00186E66">
        <w:rPr>
          <w:rFonts w:ascii="Arial" w:hAnsi="Arial" w:cs="Arial"/>
        </w:rPr>
        <w:t xml:space="preserve">durabilidade</w:t>
      </w:r>
      <w:r w:rsidRPr="00186E66">
        <w:rPr>
          <w:rFonts w:ascii="Arial" w:hAnsi="Arial" w:cs="Arial"/>
        </w:rPr>
        <w:t xml:space="preserve">.</w:t>
      </w:r>
    </w:p>
    <w:p w:rsidRPr="00186E66" w:rsidR="00186E66" w:rsidP="00186E66" w:rsidRDefault="00186E66" w14:paraId="3A7A86EC" w14:textId="7777777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86E66">
        <w:rPr>
          <w:rFonts w:ascii="Arial" w:hAnsi="Arial" w:cs="Arial"/>
        </w:rPr>
        <w:t xml:space="preserve">É </w:t>
      </w:r>
      <w:r w:rsidRPr="00186E66">
        <w:rPr>
          <w:rFonts w:ascii="Arial" w:hAnsi="Arial" w:cs="Arial"/>
        </w:rPr>
        <w:t xml:space="preserve">reforçado </w:t>
      </w:r>
      <w:r w:rsidRPr="00186E66">
        <w:rPr>
          <w:rFonts w:ascii="Arial" w:hAnsi="Arial" w:cs="Arial"/>
        </w:rPr>
        <w:t xml:space="preserve">por </w:t>
      </w:r>
      <w:r w:rsidRPr="00186E66">
        <w:rPr>
          <w:rFonts w:ascii="Arial" w:hAnsi="Arial" w:cs="Arial"/>
        </w:rPr>
        <w:t xml:space="preserve">uma </w:t>
      </w:r>
      <w:r w:rsidRPr="00186E66">
        <w:rPr>
          <w:rFonts w:ascii="Arial" w:hAnsi="Arial" w:cs="Arial"/>
        </w:rPr>
        <w:t xml:space="preserve">grelha </w:t>
      </w:r>
      <w:r w:rsidRPr="00186E66">
        <w:rPr>
          <w:rFonts w:ascii="Arial" w:hAnsi="Arial" w:cs="Arial"/>
        </w:rPr>
        <w:t xml:space="preserve">de fibra de vidro </w:t>
      </w:r>
      <w:r w:rsidRPr="00186E66">
        <w:rPr>
          <w:rFonts w:ascii="Arial" w:hAnsi="Arial" w:cs="Arial"/>
        </w:rPr>
        <w:t xml:space="preserve">e está disponível em </w:t>
      </w:r>
      <w:r w:rsidRPr="00186E66">
        <w:rPr>
          <w:rFonts w:ascii="Arial" w:hAnsi="Arial" w:cs="Arial"/>
        </w:rPr>
        <w:t xml:space="preserve">formato de </w:t>
      </w:r>
      <w:r w:rsidRPr="00186E66">
        <w:rPr>
          <w:rFonts w:ascii="Arial" w:hAnsi="Arial" w:cs="Arial"/>
        </w:rPr>
        <w:t xml:space="preserve">folha. </w:t>
      </w:r>
    </w:p>
    <w:p w:rsidRPr="00186E66" w:rsidR="00186E66" w:rsidP="00186E66" w:rsidRDefault="00186E66" w14:paraId="7B205F06" w14:textId="7777777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86E66">
        <w:rPr>
          <w:rFonts w:ascii="Arial" w:hAnsi="Arial" w:cs="Arial"/>
        </w:rPr>
        <w:t xml:space="preserve">É </w:t>
      </w:r>
      <w:r w:rsidRPr="00186E66">
        <w:rPr>
          <w:rFonts w:ascii="Arial" w:hAnsi="Arial" w:cs="Arial"/>
        </w:rPr>
        <w:t xml:space="preserve">uma </w:t>
      </w:r>
      <w:r w:rsidRPr="00186E66">
        <w:rPr>
          <w:rFonts w:ascii="Arial" w:hAnsi="Arial" w:cs="Arial"/>
        </w:rPr>
        <w:t xml:space="preserve">solução </w:t>
      </w:r>
      <w:r w:rsidRPr="00186E66">
        <w:rPr>
          <w:rFonts w:ascii="Arial" w:hAnsi="Arial" w:cs="Arial"/>
        </w:rPr>
        <w:t xml:space="preserve">ideal </w:t>
      </w:r>
      <w:r w:rsidRPr="00186E66">
        <w:rPr>
          <w:rFonts w:ascii="Arial" w:hAnsi="Arial" w:cs="Arial"/>
        </w:rPr>
        <w:t xml:space="preserve">para </w:t>
      </w:r>
      <w:r w:rsidRPr="00186E66">
        <w:rPr>
          <w:rFonts w:ascii="Arial" w:hAnsi="Arial" w:cs="Arial"/>
        </w:rPr>
        <w:t xml:space="preserve">aplicações de </w:t>
      </w:r>
      <w:r w:rsidRPr="00186E66">
        <w:rPr>
          <w:rFonts w:ascii="Arial" w:hAnsi="Arial" w:cs="Arial"/>
        </w:rPr>
        <w:t xml:space="preserve">tráfego </w:t>
      </w:r>
      <w:r w:rsidRPr="00186E66">
        <w:rPr>
          <w:rFonts w:ascii="Arial" w:hAnsi="Arial" w:cs="Arial"/>
        </w:rPr>
        <w:t xml:space="preserve">intenso </w:t>
      </w:r>
      <w:r w:rsidRPr="00186E66">
        <w:rPr>
          <w:rFonts w:ascii="Arial" w:hAnsi="Arial" w:cs="Arial"/>
        </w:rPr>
        <w:t xml:space="preserve">em que </w:t>
      </w:r>
      <w:r w:rsidRPr="00186E66">
        <w:rPr>
          <w:rFonts w:ascii="Arial" w:hAnsi="Arial" w:cs="Arial"/>
        </w:rPr>
        <w:t xml:space="preserve">é </w:t>
      </w:r>
      <w:r w:rsidRPr="00186E66">
        <w:rPr>
          <w:rFonts w:ascii="Arial" w:hAnsi="Arial" w:cs="Arial"/>
        </w:rPr>
        <w:t xml:space="preserve">necessária </w:t>
      </w:r>
      <w:r w:rsidRPr="00186E66">
        <w:rPr>
          <w:rFonts w:ascii="Arial" w:hAnsi="Arial" w:cs="Arial"/>
        </w:rPr>
        <w:t xml:space="preserve">resistência ao </w:t>
      </w:r>
      <w:r w:rsidRPr="00186E66">
        <w:rPr>
          <w:rFonts w:ascii="Arial" w:hAnsi="Arial" w:cs="Arial"/>
        </w:rPr>
        <w:t xml:space="preserve">deslizamento</w:t>
      </w:r>
      <w:r w:rsidRPr="00186E66">
        <w:rPr>
          <w:rFonts w:ascii="Arial" w:hAnsi="Arial" w:cs="Arial"/>
        </w:rPr>
        <w:t xml:space="preserve">, </w:t>
      </w:r>
      <w:r w:rsidRPr="00186E66">
        <w:rPr>
          <w:rFonts w:ascii="Arial" w:hAnsi="Arial" w:cs="Arial"/>
        </w:rPr>
        <w:t xml:space="preserve">durabilidade</w:t>
      </w:r>
      <w:r w:rsidRPr="00186E66">
        <w:rPr>
          <w:rFonts w:ascii="Arial" w:hAnsi="Arial" w:cs="Arial"/>
        </w:rPr>
        <w:t xml:space="preserve">, </w:t>
      </w:r>
      <w:r w:rsidRPr="00186E66">
        <w:rPr>
          <w:rFonts w:ascii="Arial" w:hAnsi="Arial" w:cs="Arial"/>
        </w:rPr>
        <w:t xml:space="preserve">higiene </w:t>
      </w:r>
      <w:r w:rsidRPr="00186E66">
        <w:rPr>
          <w:rFonts w:ascii="Arial" w:hAnsi="Arial" w:cs="Arial"/>
        </w:rPr>
        <w:t xml:space="preserve">e </w:t>
      </w:r>
      <w:r w:rsidRPr="00186E66">
        <w:rPr>
          <w:rFonts w:ascii="Arial" w:hAnsi="Arial" w:cs="Arial"/>
        </w:rPr>
        <w:t xml:space="preserve">fácil </w:t>
      </w:r>
      <w:r w:rsidRPr="00186E66">
        <w:rPr>
          <w:rFonts w:ascii="Arial" w:hAnsi="Arial" w:cs="Arial"/>
        </w:rPr>
        <w:t xml:space="preserve">manutenção</w:t>
      </w:r>
      <w:r w:rsidRPr="00186E66">
        <w:rPr>
          <w:rFonts w:ascii="Arial" w:hAnsi="Arial" w:cs="Arial"/>
        </w:rPr>
        <w:t xml:space="preserve">.</w:t>
      </w:r>
    </w:p>
    <w:p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86E66">
        <w:rPr>
          <w:rFonts w:ascii="Arial" w:hAnsi="Arial" w:cs="Arial"/>
        </w:rPr>
        <w:t xml:space="preserve">.</w:t>
      </w:r>
    </w:p>
    <w:p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86E66">
        <w:rPr>
          <w:rFonts w:ascii="Arial" w:hAnsi="Arial" w:cs="Arial"/>
          <w:b/>
          <w:bCs/>
        </w:rPr>
        <w:t xml:space="preserve">TARASAFE PLUS </w:t>
      </w:r>
      <w:r w:rsidRPr="00186E66">
        <w:rPr>
          <w:rFonts w:ascii="Arial" w:hAnsi="Arial" w:cs="Arial"/>
        </w:rPr>
        <w:t xml:space="preserve">incorpora um </w:t>
      </w:r>
      <w:r w:rsidRPr="00186E66">
        <w:rPr>
          <w:rFonts w:ascii="Arial" w:hAnsi="Arial" w:cs="Arial"/>
        </w:rPr>
        <w:t xml:space="preserve">suporte </w:t>
      </w:r>
      <w:r w:rsidRPr="00186E66">
        <w:rPr>
          <w:rFonts w:ascii="Arial" w:hAnsi="Arial" w:cs="Arial"/>
        </w:rPr>
        <w:t xml:space="preserve">têxtil </w:t>
      </w:r>
      <w:r w:rsidRPr="00186E66">
        <w:rPr>
          <w:rFonts w:ascii="Arial" w:hAnsi="Arial" w:cs="Arial"/>
        </w:rPr>
        <w:t xml:space="preserve">para </w:t>
      </w:r>
      <w:r w:rsidRPr="00186E66">
        <w:rPr>
          <w:rFonts w:ascii="Arial" w:hAnsi="Arial" w:cs="Arial"/>
        </w:rPr>
        <w:t xml:space="preserve">uma melhor </w:t>
      </w:r>
      <w:r w:rsidRPr="00186E66">
        <w:rPr>
          <w:rFonts w:ascii="Arial" w:hAnsi="Arial" w:cs="Arial"/>
        </w:rPr>
        <w:t xml:space="preserve">aderência </w:t>
      </w:r>
      <w:r w:rsidRPr="00186E66">
        <w:rPr>
          <w:rFonts w:ascii="Arial" w:hAnsi="Arial" w:cs="Arial"/>
        </w:rPr>
        <w:t xml:space="preserve">em zonas </w:t>
      </w:r>
      <w:r w:rsidRPr="00186E66">
        <w:rPr>
          <w:rFonts w:ascii="Arial" w:hAnsi="Arial" w:cs="Arial"/>
        </w:rPr>
        <w:t xml:space="preserve">húmidas</w:t>
      </w:r>
      <w:r w:rsidRPr="00186E66">
        <w:rPr>
          <w:rFonts w:ascii="Arial" w:hAnsi="Arial" w:cs="Arial"/>
        </w:rPr>
        <w:t xml:space="preserve">. </w:t>
      </w:r>
      <w:r w:rsidRPr="00186E66">
        <w:rPr>
          <w:rFonts w:ascii="Arial" w:hAnsi="Arial" w:cs="Arial"/>
        </w:rPr>
        <w:t xml:space="preserve">Ajuda a </w:t>
      </w:r>
      <w:r w:rsidRPr="00186E66">
        <w:rPr>
          <w:rFonts w:ascii="Arial" w:hAnsi="Arial" w:cs="Arial"/>
        </w:rPr>
        <w:t xml:space="preserve">reduzir </w:t>
      </w:r>
      <w:r w:rsidRPr="00186E66">
        <w:rPr>
          <w:rFonts w:ascii="Arial" w:hAnsi="Arial" w:cs="Arial"/>
        </w:rPr>
        <w:t xml:space="preserve">a telegrafia</w:t>
      </w:r>
      <w:r w:rsidRPr="00186E66">
        <w:rPr>
          <w:rFonts w:ascii="Arial" w:hAnsi="Arial" w:cs="Arial"/>
        </w:rPr>
        <w:t xml:space="preserve">.</w:t>
      </w:r>
    </w:p>
    <w:p w:rsidRPr="00186E66" w:rsidR="00186E66" w:rsidP="00186E66" w:rsidRDefault="00186E66" w14:paraId="0920854C" w14:textId="7777777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86E66">
        <w:rPr>
          <w:rFonts w:ascii="Arial" w:hAnsi="Arial" w:cs="Arial"/>
        </w:rPr>
        <w:t xml:space="preserve">É </w:t>
      </w:r>
      <w:r w:rsidRPr="00186E66">
        <w:rPr>
          <w:rFonts w:ascii="Arial" w:hAnsi="Arial" w:cs="Arial"/>
        </w:rPr>
        <w:t xml:space="preserve">adequado </w:t>
      </w:r>
      <w:r w:rsidRPr="00186E66">
        <w:rPr>
          <w:rFonts w:ascii="Arial" w:hAnsi="Arial" w:cs="Arial"/>
        </w:rPr>
        <w:t xml:space="preserve">para a </w:t>
      </w:r>
      <w:r w:rsidRPr="00186E66">
        <w:rPr>
          <w:rFonts w:ascii="Arial" w:hAnsi="Arial" w:cs="Arial"/>
        </w:rPr>
        <w:t xml:space="preserve">maioria das </w:t>
      </w:r>
      <w:r w:rsidRPr="00186E66">
        <w:rPr>
          <w:rFonts w:ascii="Arial" w:hAnsi="Arial" w:cs="Arial"/>
        </w:rPr>
        <w:t xml:space="preserve">áreas </w:t>
      </w:r>
      <w:r w:rsidRPr="00186E66">
        <w:rPr>
          <w:rFonts w:ascii="Arial" w:hAnsi="Arial" w:cs="Arial"/>
        </w:rPr>
        <w:t xml:space="preserve">comerciais </w:t>
      </w:r>
      <w:r w:rsidRPr="00186E66">
        <w:rPr>
          <w:rFonts w:ascii="Arial" w:hAnsi="Arial" w:cs="Arial"/>
        </w:rPr>
        <w:t xml:space="preserve">e </w:t>
      </w:r>
      <w:r w:rsidRPr="00186E66">
        <w:rPr>
          <w:rFonts w:ascii="Arial" w:hAnsi="Arial" w:cs="Arial"/>
        </w:rPr>
        <w:t xml:space="preserve">contratuais</w:t>
      </w:r>
      <w:r w:rsidRPr="00186E66">
        <w:rPr>
          <w:rFonts w:ascii="Arial" w:hAnsi="Arial" w:cs="Arial"/>
        </w:rPr>
        <w:t xml:space="preserve">. </w:t>
      </w:r>
    </w:p>
    <w:p w:rsidRPr="00186E66" w:rsidR="00186E66" w:rsidP="00186E66" w:rsidRDefault="00186E66" w14:paraId="6BEB9D12" w14:textId="7777777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86E66">
        <w:rPr>
          <w:rFonts w:ascii="Arial" w:hAnsi="Arial" w:cs="Arial"/>
        </w:rPr>
        <w:t xml:space="preserve">É </w:t>
      </w:r>
      <w:r w:rsidRPr="00186E66">
        <w:rPr>
          <w:rFonts w:ascii="Arial" w:hAnsi="Arial" w:cs="Arial"/>
        </w:rPr>
        <w:t xml:space="preserve">amigo </w:t>
      </w:r>
      <w:r w:rsidRPr="00186E66">
        <w:rPr>
          <w:rFonts w:ascii="Arial" w:hAnsi="Arial" w:cs="Arial"/>
        </w:rPr>
        <w:t xml:space="preserve">do ambiente</w:t>
      </w:r>
      <w:r w:rsidRPr="00186E66">
        <w:rPr>
          <w:rFonts w:ascii="Arial" w:hAnsi="Arial" w:cs="Arial"/>
        </w:rPr>
        <w:t xml:space="preserve">, 100% </w:t>
      </w:r>
      <w:r w:rsidRPr="00186E66">
        <w:rPr>
          <w:rFonts w:ascii="Arial" w:hAnsi="Arial" w:cs="Arial"/>
        </w:rPr>
        <w:t xml:space="preserve">reciclável</w:t>
      </w:r>
      <w:r w:rsidRPr="00186E66">
        <w:rPr>
          <w:rFonts w:ascii="Arial" w:hAnsi="Arial" w:cs="Arial"/>
        </w:rPr>
        <w:t xml:space="preserve">, </w:t>
      </w:r>
      <w:r w:rsidRPr="00186E66">
        <w:rPr>
          <w:rFonts w:ascii="Arial" w:hAnsi="Arial" w:cs="Arial"/>
        </w:rPr>
        <w:t xml:space="preserve">certificado </w:t>
      </w:r>
      <w:r w:rsidRPr="00186E66">
        <w:rPr>
          <w:rFonts w:ascii="Arial" w:hAnsi="Arial" w:cs="Arial"/>
        </w:rPr>
        <w:t xml:space="preserve">Floorscore® </w:t>
      </w:r>
      <w:r w:rsidRPr="00186E66">
        <w:rPr>
          <w:rFonts w:ascii="Arial" w:hAnsi="Arial" w:cs="Arial"/>
        </w:rPr>
        <w:t xml:space="preserve">e </w:t>
      </w:r>
      <w:r w:rsidRPr="00186E66">
        <w:rPr>
          <w:rFonts w:ascii="Arial" w:hAnsi="Arial" w:cs="Arial"/>
        </w:rPr>
        <w:t xml:space="preserve">isento</w:t>
      </w:r>
      <w:r w:rsidRPr="00186E66">
        <w:rPr>
          <w:rFonts w:ascii="Arial" w:hAnsi="Arial" w:cs="Arial"/>
        </w:rPr>
        <w:t xml:space="preserve"> de </w:t>
      </w:r>
      <w:r w:rsidRPr="00186E66">
        <w:rPr>
          <w:rFonts w:ascii="Arial" w:hAnsi="Arial" w:cs="Arial"/>
        </w:rPr>
        <w:t xml:space="preserve">metais </w:t>
      </w:r>
      <w:r w:rsidRPr="00186E66">
        <w:rPr>
          <w:rFonts w:ascii="Arial" w:hAnsi="Arial" w:cs="Arial"/>
        </w:rPr>
        <w:t xml:space="preserve">pesados </w:t>
      </w:r>
      <w:r w:rsidRPr="00186E66">
        <w:rPr>
          <w:rFonts w:ascii="Arial" w:hAnsi="Arial" w:cs="Arial"/>
        </w:rPr>
        <w:t xml:space="preserve">e CMR 1 e 2. </w:t>
      </w:r>
      <w:r w:rsidRPr="00186E66">
        <w:rPr>
          <w:rFonts w:ascii="Arial" w:hAnsi="Arial" w:cs="Arial"/>
        </w:rPr>
        <w:t xml:space="preserve">Está </w:t>
      </w:r>
      <w:r w:rsidRPr="00186E66">
        <w:rPr>
          <w:rFonts w:ascii="Arial" w:hAnsi="Arial" w:cs="Arial"/>
        </w:rPr>
        <w:t xml:space="preserve">também </w:t>
      </w:r>
      <w:r w:rsidRPr="00186E66">
        <w:rPr>
          <w:rFonts w:ascii="Arial" w:hAnsi="Arial" w:cs="Arial"/>
        </w:rPr>
        <w:t xml:space="preserve">100% em conformidade com o </w:t>
      </w:r>
      <w:r w:rsidRPr="00186E66">
        <w:rPr>
          <w:rFonts w:ascii="Arial" w:hAnsi="Arial" w:cs="Arial"/>
        </w:rPr>
        <w:t xml:space="preserve">REACH</w:t>
      </w:r>
      <w:r w:rsidRPr="00186E66">
        <w:rPr>
          <w:rFonts w:ascii="Arial" w:hAnsi="Arial" w:cs="Arial"/>
        </w:rPr>
        <w:t xml:space="preserve">.</w:t>
      </w:r>
    </w:p>
    <w:p w:rsidRPr="00186E66" w:rsidR="00186E66" w:rsidP="00186E66" w:rsidRDefault="00186E66" w14:paraId="12EBBF55" w14:textId="7777777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86E66">
        <w:rPr>
          <w:rFonts w:ascii="Arial" w:hAnsi="Arial" w:cs="Arial"/>
        </w:rPr>
        <w:t xml:space="preserve">A </w:t>
      </w:r>
      <w:r w:rsidRPr="00186E66">
        <w:rPr>
          <w:rFonts w:ascii="Arial" w:hAnsi="Arial" w:cs="Arial"/>
        </w:rPr>
        <w:t xml:space="preserve">taxa de </w:t>
      </w:r>
      <w:r w:rsidRPr="00186E66">
        <w:rPr>
          <w:rFonts w:ascii="Arial" w:hAnsi="Arial" w:cs="Arial"/>
        </w:rPr>
        <w:t xml:space="preserve">emissão </w:t>
      </w:r>
      <w:r w:rsidRPr="00186E66">
        <w:rPr>
          <w:rFonts w:ascii="Arial" w:hAnsi="Arial" w:cs="Arial"/>
        </w:rPr>
        <w:t xml:space="preserve">de </w:t>
      </w:r>
      <w:r w:rsidRPr="00186E66">
        <w:rPr>
          <w:rFonts w:ascii="Arial" w:hAnsi="Arial" w:cs="Arial"/>
        </w:rPr>
        <w:t xml:space="preserve">compostos </w:t>
      </w:r>
      <w:r w:rsidRPr="00186E66">
        <w:rPr>
          <w:rFonts w:ascii="Arial" w:hAnsi="Arial" w:cs="Arial"/>
        </w:rPr>
        <w:t xml:space="preserve">orgânicos </w:t>
      </w:r>
      <w:r w:rsidRPr="00186E66">
        <w:rPr>
          <w:rFonts w:ascii="Arial" w:hAnsi="Arial" w:cs="Arial"/>
        </w:rPr>
        <w:t xml:space="preserve">voláteis </w:t>
      </w:r>
      <w:r w:rsidRPr="00186E66">
        <w:rPr>
          <w:rFonts w:ascii="Arial" w:hAnsi="Arial" w:cs="Arial"/>
        </w:rPr>
        <w:t xml:space="preserve">do </w:t>
      </w:r>
      <w:r w:rsidRPr="00186E66">
        <w:rPr>
          <w:rFonts w:ascii="Arial" w:hAnsi="Arial" w:cs="Arial"/>
        </w:rPr>
        <w:t xml:space="preserve">produto </w:t>
      </w:r>
      <w:r w:rsidRPr="00186E66">
        <w:rPr>
          <w:rFonts w:ascii="Arial" w:hAnsi="Arial" w:cs="Arial"/>
        </w:rPr>
        <w:t xml:space="preserve">é &lt; 100</w:t>
      </w:r>
      <w:r w:rsidRPr="00186E66">
        <w:rPr>
          <w:rFonts w:ascii="Arial" w:hAnsi="Arial" w:cs="Arial"/>
          <w:lang w:val="en-GB"/>
        </w:rPr>
        <w:t xml:space="preserve"> μg/m3 </w:t>
      </w:r>
      <w:r w:rsidRPr="00186E66">
        <w:rPr>
          <w:rFonts w:ascii="Arial" w:hAnsi="Arial" w:cs="Arial"/>
        </w:rPr>
        <w:t xml:space="preserve">(TVOC </w:t>
      </w:r>
      <w:r w:rsidRPr="00186E66">
        <w:rPr>
          <w:rFonts w:ascii="Arial" w:hAnsi="Arial" w:cs="Arial"/>
        </w:rPr>
        <w:t xml:space="preserve">após 28 </w:t>
      </w:r>
      <w:r w:rsidRPr="00186E66">
        <w:rPr>
          <w:rFonts w:ascii="Arial" w:hAnsi="Arial" w:cs="Arial"/>
        </w:rPr>
        <w:t xml:space="preserve">dias </w:t>
      </w:r>
      <w:r w:rsidRPr="00186E66">
        <w:rPr>
          <w:rFonts w:ascii="Arial" w:hAnsi="Arial" w:cs="Arial"/>
        </w:rPr>
        <w:t xml:space="preserve">- ISO 16000 -6).</w:t>
      </w:r>
    </w:p>
    <w:p w:rsidRPr="00186E66" w:rsidR="00186E66" w:rsidP="00186E66" w:rsidRDefault="00186E66" w14:paraId="23812B4F" w14:textId="7777777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186E66">
        <w:rPr>
          <w:rFonts w:ascii="Arial" w:hAnsi="Arial" w:cs="Arial"/>
          <w:lang w:val="en-GB"/>
        </w:rPr>
        <w:t xml:space="preserve">De acordo </w:t>
      </w:r>
      <w:r w:rsidRPr="00186E66">
        <w:rPr>
          <w:rFonts w:ascii="Arial" w:hAnsi="Arial" w:cs="Arial"/>
          <w:lang w:val="en-GB"/>
        </w:rPr>
        <w:t xml:space="preserve">com a </w:t>
      </w:r>
      <w:r w:rsidRPr="00186E66">
        <w:rPr>
          <w:rFonts w:ascii="Arial" w:hAnsi="Arial" w:cs="Arial"/>
          <w:lang w:val="en-GB"/>
        </w:rPr>
        <w:t xml:space="preserve">norma ISO 22196, </w:t>
      </w:r>
      <w:r w:rsidRPr="00186E66">
        <w:rPr>
          <w:rFonts w:ascii="Arial" w:hAnsi="Arial" w:cs="Arial"/>
          <w:lang w:val="en-GB"/>
        </w:rPr>
        <w:t xml:space="preserve">tem </w:t>
      </w:r>
      <w:r w:rsidRPr="00186E66">
        <w:rPr>
          <w:rFonts w:ascii="Arial" w:hAnsi="Arial" w:cs="Arial"/>
          <w:lang w:val="en-GB"/>
        </w:rPr>
        <w:t xml:space="preserve">uma </w:t>
      </w:r>
      <w:r w:rsidRPr="00186E66">
        <w:rPr>
          <w:rFonts w:ascii="Arial" w:hAnsi="Arial" w:cs="Arial"/>
          <w:lang w:val="en-GB"/>
        </w:rPr>
        <w:t xml:space="preserve">atividade </w:t>
      </w:r>
      <w:r w:rsidRPr="00186E66">
        <w:rPr>
          <w:rFonts w:ascii="Arial" w:hAnsi="Arial" w:cs="Arial"/>
          <w:lang w:val="en-GB"/>
        </w:rPr>
        <w:t xml:space="preserve">antibacteriana </w:t>
      </w:r>
      <w:r w:rsidRPr="00186E66">
        <w:rPr>
          <w:rFonts w:ascii="Arial" w:hAnsi="Arial" w:cs="Arial"/>
          <w:lang w:val="en-GB"/>
        </w:rPr>
        <w:t xml:space="preserve">contra MRSA de 99% </w:t>
      </w:r>
      <w:r w:rsidRPr="00186E66">
        <w:rPr>
          <w:rFonts w:ascii="Arial" w:hAnsi="Arial" w:cs="Arial"/>
          <w:lang w:val="en-GB"/>
        </w:rPr>
        <w:t xml:space="preserve">após </w:t>
      </w:r>
      <w:r w:rsidRPr="00186E66">
        <w:rPr>
          <w:rFonts w:ascii="Arial" w:hAnsi="Arial" w:cs="Arial"/>
          <w:lang w:val="en-GB"/>
        </w:rPr>
        <w:t xml:space="preserve">24h00.</w:t>
      </w:r>
    </w:p>
    <w:sectPr w:rsidRPr="00186E66" w:rsidR="00B25EE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A638C" w:rsidRDefault="00AA638C" w14:paraId="09ED8405" w14:textId="77777777">
      <w:r>
        <w:separator/>
      </w:r>
    </w:p>
  </w:endnote>
  <w:endnote w:type="continuationSeparator" w:id="0">
    <w:p w:rsidR="00AA638C" w:rsidRDefault="00AA638C" w14:paraId="0D9C155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Pieddepage"/>
      <w:pBdr>
        <w:top w:val="single" w:color="auto" w:sz="12" w:space="2"/>
      </w:pBdr>
      <w:rPr>
        <w:rFonts w:ascii="Arial" w:hAnsi="Arial" w:cs="Arial"/>
        <w:b/>
        <w:bCs/>
        <w:color w:val="001740"/>
        <w:sz w:val="20"/>
        <w:szCs w:val="20"/>
      </w:rPr>
    </w:pPr>
    <w:r w:rsidR="00443832">
      <w:rPr>
        <w:rFonts w:ascii="Arial" w:hAnsi="Arial" w:cs="Arial"/>
        <w:b/>
        <w:bCs/>
        <w:color w:val="001740"/>
        <w:sz w:val="20"/>
        <w:szCs w:val="20"/>
      </w:rPr>
      <w:t xml:space="preserve">Texto de </w:t>
    </w:r>
    <w:r>
      <w:rPr>
        <w:rFonts w:ascii="Arial" w:hAnsi="Arial" w:cs="Arial"/>
        <w:b/>
        <w:bCs/>
        <w:color w:val="001740"/>
        <w:sz w:val="20"/>
        <w:szCs w:val="20"/>
      </w:rPr>
      <w:t xml:space="preserve">descrição do produto</w:t>
    </w:r>
    <w:r w:rsidR="00443832">
      <w:rPr>
        <w:rFonts w:ascii="Arial" w:hAnsi="Arial" w:cs="Arial"/>
        <w:b/>
        <w:bCs/>
        <w:color w:val="001740"/>
        <w:sz w:val="20"/>
        <w:szCs w:val="20"/>
      </w:rPr>
      <w:tab/>
    </w:r>
    <w:r w:rsidR="00443832">
      <w:rPr>
        <w:rFonts w:ascii="Arial" w:hAnsi="Arial" w:cs="Arial"/>
        <w:b/>
        <w:bCs/>
        <w:color w:val="001740"/>
        <w:sz w:val="20"/>
        <w:szCs w:val="20"/>
      </w:rPr>
      <w:tab/>
    </w:r>
    <w:r w:rsidRPr="005E2D20" w:rsidR="00391DCD">
      <w:rPr>
        <w:rFonts w:ascii="Arial" w:hAnsi="Arial" w:cs="Arial"/>
        <w:b/>
        <w:bCs/>
        <w:color w:val="001740"/>
        <w:sz w:val="20"/>
        <w:szCs w:val="20"/>
      </w:rPr>
      <w:t xml:space="preserve">gerflor.com</w:t>
    </w:r>
  </w:p>
  <w:p w:rsidR="00391DCD" w:rsidRDefault="00391DCD" w14:paraId="6BC0497B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A638C" w:rsidRDefault="00AA638C" w14:paraId="4316A710" w14:textId="77777777">
      <w:r>
        <w:separator/>
      </w:r>
    </w:p>
  </w:footnote>
  <w:footnote w:type="continuationSeparator" w:id="0">
    <w:p w:rsidR="00AA638C" w:rsidRDefault="00AA638C" w14:paraId="32BBF33A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0C"/>
    <w:rsid w:val="00047833"/>
    <w:rsid w:val="00186E66"/>
    <w:rsid w:val="00234EB3"/>
    <w:rsid w:val="002A7AA7"/>
    <w:rsid w:val="002E5ABD"/>
    <w:rsid w:val="003616A2"/>
    <w:rsid w:val="00391DCD"/>
    <w:rsid w:val="003B5C41"/>
    <w:rsid w:val="00443832"/>
    <w:rsid w:val="00542F6E"/>
    <w:rsid w:val="005E210C"/>
    <w:rsid w:val="005E2D20"/>
    <w:rsid w:val="007D362A"/>
    <w:rsid w:val="008D7490"/>
    <w:rsid w:val="00924EAF"/>
    <w:rsid w:val="0094383F"/>
    <w:rsid w:val="00A24ACF"/>
    <w:rsid w:val="00A43D63"/>
    <w:rsid w:val="00A64157"/>
    <w:rsid w:val="00AA638C"/>
    <w:rsid w:val="00AF7D64"/>
    <w:rsid w:val="00B24A72"/>
    <w:rsid w:val="00B25EE4"/>
    <w:rsid w:val="00DC0E89"/>
    <w:rsid w:val="00F2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496F35C3"/>
  <w15:chartTrackingRefBased/>
  <w15:docId w15:val="{B626C160-DFC4-4E90-91EE-72216ED6D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43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Essai MD Web</ap:Template>
  <ap:TotalTime>1</ap:TotalTime>
  <ap:Pages>1</ap:Pages>
  <ap:Words>172</ap:Words>
  <ap:Characters>917</ap:Characters>
  <ap:Application>Microsoft Office Word</ap:Application>
  <ap:DocSecurity>0</ap:DocSecurity>
  <ap:Lines>7</ap:Lines>
  <ap:Paragraphs>2</ap:Paragraphs>
  <ap:ScaleCrop>false</ap:ScaleCrop>
  <ap:HeadingPairs>
    <vt:vector baseType="variant" size="2">
      <vt:variant>
        <vt:lpstr>Titre</vt:lpstr>
      </vt:variant>
      <vt:variant>
        <vt:i4>1</vt:i4>
      </vt:variant>
    </vt:vector>
  </ap:HeadingPairs>
  <ap:TitlesOfParts>
    <vt:vector baseType="lpstr" size="1">
      <vt:lpstr> </vt:lpstr>
    </vt:vector>
  </ap:TitlesOfParts>
  <ap:Company>Gerflor</ap:Company>
  <ap:LinksUpToDate>false</ap:LinksUpToDate>
  <ap:CharactersWithSpaces>1087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gerflor</dc:creator>
  <keywords>, docId:3BB225BE950B893B87DA2299FE525078</keywords>
  <dc:description/>
  <lastModifiedBy>GZOUR Hajar</lastModifiedBy>
  <revision>2</revision>
  <lastPrinted>1601-01-01T00:00:00.0000000Z</lastPrinted>
  <dcterms:created xsi:type="dcterms:W3CDTF">2023-12-19T09:10:00.0000000Z</dcterms:created>
  <dcterms:modified xsi:type="dcterms:W3CDTF">2023-12-19T09:10:00.0000000Z</dcterms:modified>
</coreProperties>
</file>